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45DB" w14:textId="77777777" w:rsidR="00C036BB" w:rsidRPr="00C036BB" w:rsidRDefault="00C036BB" w:rsidP="00C036BB">
      <w:r w:rsidRPr="00C036BB">
        <w:t>The Federal Highway Administration recently released the state-by-state highway contract authority reduction numbers for summer of 2020's $7.6 billion FAST Act rescission. Please see below the state-by-state total which shows states only held $5.4 billion in contract authority subject to the rescission. This provision will remove $2.2 billion.</w:t>
      </w:r>
    </w:p>
    <w:p w14:paraId="53BCB175" w14:textId="77777777" w:rsidR="00854CD5" w:rsidRDefault="00854CD5">
      <w:bookmarkStart w:id="0" w:name="_GoBack"/>
      <w:bookmarkEnd w:id="0"/>
    </w:p>
    <w:sectPr w:rsidR="00854CD5" w:rsidSect="002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B"/>
    <w:rsid w:val="002F1AFF"/>
    <w:rsid w:val="00854CD5"/>
    <w:rsid w:val="00C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C54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2019-12-30T15:19:00Z</dcterms:created>
  <dcterms:modified xsi:type="dcterms:W3CDTF">2019-12-30T15:19:00Z</dcterms:modified>
</cp:coreProperties>
</file>